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B3A7" w14:textId="2EA7F99D" w:rsidR="002E420E" w:rsidRPr="00763F3D" w:rsidRDefault="002E420E" w:rsidP="00763F3D">
      <w:pPr>
        <w:spacing w:after="0" w:line="240" w:lineRule="auto"/>
        <w:jc w:val="both"/>
        <w:rPr>
          <w:rFonts w:eastAsia="Times New Roman" w:cstheme="minorHAnsi"/>
          <w:b/>
          <w:bCs/>
          <w:lang w:eastAsia="it-IT"/>
        </w:rPr>
      </w:pPr>
      <w:r w:rsidRPr="00763F3D">
        <w:rPr>
          <w:rFonts w:eastAsia="Times New Roman" w:cstheme="minorHAnsi"/>
          <w:b/>
          <w:bCs/>
          <w:lang w:eastAsia="it-IT"/>
        </w:rPr>
        <w:t>N. 13 DEL 15/03/2021</w:t>
      </w:r>
    </w:p>
    <w:p w14:paraId="2632DCA1" w14:textId="77777777" w:rsidR="002E420E" w:rsidRPr="00763F3D" w:rsidRDefault="002E420E" w:rsidP="00763F3D">
      <w:pPr>
        <w:spacing w:after="0" w:line="240" w:lineRule="auto"/>
        <w:jc w:val="both"/>
        <w:rPr>
          <w:rFonts w:eastAsia="Times New Roman" w:cstheme="minorHAnsi"/>
          <w:b/>
          <w:bCs/>
          <w:lang w:eastAsia="it-IT"/>
        </w:rPr>
      </w:pPr>
    </w:p>
    <w:p w14:paraId="201F174C" w14:textId="77777777" w:rsidR="002E420E" w:rsidRPr="00763F3D" w:rsidRDefault="002E420E" w:rsidP="00763F3D">
      <w:pPr>
        <w:spacing w:after="0" w:line="240" w:lineRule="auto"/>
        <w:jc w:val="both"/>
        <w:rPr>
          <w:rFonts w:eastAsia="Times New Roman" w:cstheme="minorHAnsi"/>
          <w:b/>
          <w:bCs/>
          <w:lang w:eastAsia="it-IT"/>
        </w:rPr>
      </w:pPr>
    </w:p>
    <w:p w14:paraId="41A74F51" w14:textId="18041AF1" w:rsidR="00D76765" w:rsidRPr="00763F3D" w:rsidRDefault="00D76765" w:rsidP="00763F3D">
      <w:pPr>
        <w:spacing w:after="0" w:line="240" w:lineRule="auto"/>
        <w:jc w:val="both"/>
        <w:rPr>
          <w:rFonts w:eastAsia="Times New Roman" w:cstheme="minorHAnsi"/>
          <w:b/>
          <w:bCs/>
          <w:lang w:eastAsia="it-IT"/>
        </w:rPr>
      </w:pPr>
      <w:r w:rsidRPr="00763F3D">
        <w:rPr>
          <w:rFonts w:eastAsia="Times New Roman" w:cstheme="minorHAnsi"/>
          <w:b/>
          <w:bCs/>
          <w:lang w:eastAsia="it-IT"/>
        </w:rPr>
        <w:t>OGGETTO: DETERMINAZIONE TARIFFE CANONE UNICO PATRIMONIALE ANNO DI IMPOSTA 2021</w:t>
      </w:r>
      <w:r w:rsidR="00763F3D">
        <w:rPr>
          <w:rFonts w:eastAsia="Times New Roman" w:cstheme="minorHAnsi"/>
          <w:b/>
          <w:bCs/>
          <w:lang w:eastAsia="it-IT"/>
        </w:rPr>
        <w:t>.</w:t>
      </w:r>
    </w:p>
    <w:p w14:paraId="20074171" w14:textId="453F8F67" w:rsidR="00167893" w:rsidRDefault="00167893" w:rsidP="00763F3D">
      <w:pPr>
        <w:spacing w:after="0" w:line="240" w:lineRule="auto"/>
        <w:ind w:firstLine="708"/>
        <w:jc w:val="both"/>
        <w:rPr>
          <w:rFonts w:eastAsia="Times New Roman" w:cstheme="minorHAnsi"/>
          <w:lang w:eastAsia="it-IT"/>
        </w:rPr>
      </w:pPr>
    </w:p>
    <w:p w14:paraId="326D2B06" w14:textId="21185F65" w:rsidR="00763F3D" w:rsidRDefault="00763F3D" w:rsidP="00763F3D">
      <w:pPr>
        <w:spacing w:after="0" w:line="240" w:lineRule="auto"/>
        <w:ind w:firstLine="708"/>
        <w:jc w:val="both"/>
        <w:rPr>
          <w:rFonts w:eastAsia="Times New Roman" w:cstheme="minorHAnsi"/>
          <w:lang w:eastAsia="it-IT"/>
        </w:rPr>
      </w:pPr>
    </w:p>
    <w:p w14:paraId="3F1073D8" w14:textId="14F302BC" w:rsidR="00763F3D" w:rsidRPr="00763F3D" w:rsidRDefault="00763F3D" w:rsidP="00763F3D">
      <w:pPr>
        <w:spacing w:after="0" w:line="240" w:lineRule="auto"/>
        <w:ind w:firstLine="708"/>
        <w:jc w:val="center"/>
        <w:rPr>
          <w:rFonts w:eastAsia="Times New Roman" w:cstheme="minorHAnsi"/>
          <w:b/>
          <w:bCs/>
          <w:sz w:val="28"/>
          <w:szCs w:val="28"/>
          <w:lang w:eastAsia="it-IT"/>
        </w:rPr>
      </w:pPr>
      <w:r w:rsidRPr="00763F3D">
        <w:rPr>
          <w:rFonts w:eastAsia="Times New Roman" w:cstheme="minorHAnsi"/>
          <w:b/>
          <w:bCs/>
          <w:sz w:val="28"/>
          <w:szCs w:val="28"/>
          <w:lang w:eastAsia="it-IT"/>
        </w:rPr>
        <w:t>LA GIUNTA COMUNALE</w:t>
      </w:r>
    </w:p>
    <w:p w14:paraId="49BC962D" w14:textId="77777777" w:rsidR="00763F3D" w:rsidRDefault="00763F3D" w:rsidP="00763F3D">
      <w:pPr>
        <w:spacing w:after="0" w:line="240" w:lineRule="auto"/>
        <w:ind w:firstLine="708"/>
        <w:jc w:val="both"/>
        <w:rPr>
          <w:rFonts w:eastAsia="Times New Roman" w:cstheme="minorHAnsi"/>
          <w:lang w:eastAsia="it-IT"/>
        </w:rPr>
      </w:pPr>
    </w:p>
    <w:p w14:paraId="0BCA0839" w14:textId="77777777" w:rsidR="00763F3D" w:rsidRPr="00763F3D" w:rsidRDefault="00763F3D" w:rsidP="00763F3D">
      <w:pPr>
        <w:spacing w:after="0" w:line="240" w:lineRule="auto"/>
        <w:ind w:firstLine="708"/>
        <w:jc w:val="both"/>
        <w:rPr>
          <w:rFonts w:eastAsia="Times New Roman" w:cstheme="minorHAnsi"/>
          <w:lang w:eastAsia="it-IT"/>
        </w:rPr>
      </w:pPr>
    </w:p>
    <w:p w14:paraId="5C6BDB05" w14:textId="4899A378" w:rsidR="00167893" w:rsidRDefault="00167893" w:rsidP="00763F3D">
      <w:pPr>
        <w:spacing w:after="0" w:line="240" w:lineRule="auto"/>
        <w:ind w:firstLine="708"/>
        <w:jc w:val="both"/>
        <w:rPr>
          <w:rFonts w:eastAsia="Times New Roman" w:cstheme="minorHAnsi"/>
          <w:lang w:eastAsia="it-IT"/>
        </w:rPr>
      </w:pPr>
      <w:r w:rsidRPr="00763F3D">
        <w:rPr>
          <w:rFonts w:eastAsia="Times New Roman" w:cstheme="minorHAnsi"/>
          <w:b/>
          <w:bCs/>
          <w:lang w:eastAsia="it-IT"/>
        </w:rPr>
        <w:t>Vista</w:t>
      </w:r>
      <w:r w:rsidRPr="00763F3D">
        <w:rPr>
          <w:rFonts w:eastAsia="Times New Roman" w:cstheme="minorHAnsi"/>
          <w:lang w:eastAsia="it-IT"/>
        </w:rPr>
        <w:t xml:space="preserve"> la deliberazione di Giunta Comunale n. </w:t>
      </w:r>
      <w:r w:rsidR="002E420E" w:rsidRPr="00763F3D">
        <w:rPr>
          <w:rFonts w:eastAsia="Times New Roman" w:cstheme="minorHAnsi"/>
          <w:lang w:eastAsia="it-IT"/>
        </w:rPr>
        <w:t>11/2020</w:t>
      </w:r>
      <w:r w:rsidRPr="00763F3D">
        <w:rPr>
          <w:rFonts w:eastAsia="Times New Roman" w:cstheme="minorHAnsi"/>
          <w:lang w:eastAsia="it-IT"/>
        </w:rPr>
        <w:t xml:space="preserve"> del </w:t>
      </w:r>
      <w:r w:rsidR="002E420E" w:rsidRPr="00763F3D">
        <w:rPr>
          <w:rFonts w:eastAsia="Times New Roman" w:cstheme="minorHAnsi"/>
          <w:lang w:eastAsia="it-IT"/>
        </w:rPr>
        <w:t>26.02.2020, esecutiva ai sensi di legge,</w:t>
      </w:r>
      <w:r w:rsidRPr="00763F3D">
        <w:rPr>
          <w:rFonts w:eastAsia="Times New Roman" w:cstheme="minorHAnsi"/>
          <w:lang w:eastAsia="it-IT"/>
        </w:rPr>
        <w:t xml:space="preserve"> con</w:t>
      </w:r>
      <w:r w:rsidR="004277F4">
        <w:rPr>
          <w:rFonts w:eastAsia="Times New Roman" w:cstheme="minorHAnsi"/>
          <w:lang w:eastAsia="it-IT"/>
        </w:rPr>
        <w:t xml:space="preserve"> la quale</w:t>
      </w:r>
      <w:r w:rsidRPr="00763F3D">
        <w:rPr>
          <w:rFonts w:eastAsia="Times New Roman" w:cstheme="minorHAnsi"/>
          <w:lang w:eastAsia="it-IT"/>
        </w:rPr>
        <w:t xml:space="preserve"> sono stat</w:t>
      </w:r>
      <w:r w:rsidR="004277F4">
        <w:rPr>
          <w:rFonts w:eastAsia="Times New Roman" w:cstheme="minorHAnsi"/>
          <w:lang w:eastAsia="it-IT"/>
        </w:rPr>
        <w:t>i</w:t>
      </w:r>
      <w:r w:rsidRPr="00763F3D">
        <w:rPr>
          <w:rFonts w:eastAsia="Times New Roman" w:cstheme="minorHAnsi"/>
          <w:lang w:eastAsia="it-IT"/>
        </w:rPr>
        <w:t xml:space="preserve"> confermat</w:t>
      </w:r>
      <w:r w:rsidR="00763F3D">
        <w:rPr>
          <w:rFonts w:eastAsia="Times New Roman" w:cstheme="minorHAnsi"/>
          <w:lang w:eastAsia="it-IT"/>
        </w:rPr>
        <w:t>i</w:t>
      </w:r>
      <w:r w:rsidRPr="00763F3D">
        <w:rPr>
          <w:rFonts w:eastAsia="Times New Roman" w:cstheme="minorHAnsi"/>
          <w:lang w:eastAsia="it-IT"/>
        </w:rPr>
        <w:t xml:space="preserve"> e deliberat</w:t>
      </w:r>
      <w:r w:rsidR="00763F3D">
        <w:rPr>
          <w:rFonts w:eastAsia="Times New Roman" w:cstheme="minorHAnsi"/>
          <w:lang w:eastAsia="it-IT"/>
        </w:rPr>
        <w:t>i</w:t>
      </w:r>
      <w:r w:rsidRPr="00763F3D">
        <w:rPr>
          <w:rFonts w:eastAsia="Times New Roman" w:cstheme="minorHAnsi"/>
          <w:lang w:eastAsia="it-IT"/>
        </w:rPr>
        <w:t xml:space="preserve"> </w:t>
      </w:r>
      <w:r w:rsidR="002E420E" w:rsidRPr="00763F3D">
        <w:rPr>
          <w:rFonts w:eastAsia="Times New Roman" w:cstheme="minorHAnsi"/>
          <w:lang w:eastAsia="it-IT"/>
        </w:rPr>
        <w:t>il</w:t>
      </w:r>
      <w:r w:rsidRPr="00763F3D">
        <w:rPr>
          <w:rFonts w:eastAsia="Times New Roman" w:cstheme="minorHAnsi"/>
          <w:lang w:eastAsia="it-IT"/>
        </w:rPr>
        <w:t xml:space="preserve"> </w:t>
      </w:r>
      <w:r w:rsidR="00763F3D" w:rsidRPr="00763F3D">
        <w:rPr>
          <w:rFonts w:cstheme="minorHAnsi"/>
          <w:bCs/>
        </w:rPr>
        <w:t>canone per l’occupazione di spazi ed aree pubbliche</w:t>
      </w:r>
      <w:r w:rsidR="00763F3D" w:rsidRPr="00763F3D">
        <w:rPr>
          <w:rFonts w:cstheme="minorHAnsi"/>
          <w:b/>
        </w:rPr>
        <w:t xml:space="preserve"> </w:t>
      </w:r>
      <w:r w:rsidR="002E420E" w:rsidRPr="00763F3D">
        <w:rPr>
          <w:rFonts w:cstheme="minorHAnsi"/>
          <w:bCs/>
        </w:rPr>
        <w:t>(</w:t>
      </w:r>
      <w:r w:rsidR="002E420E" w:rsidRPr="00763F3D">
        <w:rPr>
          <w:rFonts w:eastAsia="Times New Roman" w:cstheme="minorHAnsi"/>
          <w:bCs/>
          <w:lang w:eastAsia="it-IT"/>
        </w:rPr>
        <w:t>d</w:t>
      </w:r>
      <w:r w:rsidR="002E420E" w:rsidRPr="00763F3D">
        <w:rPr>
          <w:rFonts w:eastAsia="Times New Roman" w:cstheme="minorHAnsi"/>
          <w:lang w:eastAsia="it-IT"/>
        </w:rPr>
        <w:t>i seguito COSAP)</w:t>
      </w:r>
      <w:r w:rsidR="002E420E" w:rsidRPr="00763F3D">
        <w:rPr>
          <w:rFonts w:cstheme="minorHAnsi"/>
          <w:b/>
        </w:rPr>
        <w:t xml:space="preserve">, </w:t>
      </w:r>
      <w:r w:rsidRPr="00763F3D">
        <w:rPr>
          <w:rFonts w:eastAsia="Times New Roman" w:cstheme="minorHAnsi"/>
          <w:lang w:eastAsia="it-IT"/>
        </w:rPr>
        <w:t xml:space="preserve">l’Imposta di Pubblicità (di seguito denominata ICP) e </w:t>
      </w:r>
      <w:r w:rsidR="002E420E" w:rsidRPr="00763F3D">
        <w:rPr>
          <w:rFonts w:eastAsia="Times New Roman" w:cstheme="minorHAnsi"/>
          <w:lang w:eastAsia="it-IT"/>
        </w:rPr>
        <w:t>il</w:t>
      </w:r>
      <w:r w:rsidRPr="00763F3D">
        <w:rPr>
          <w:rFonts w:eastAsia="Times New Roman" w:cstheme="minorHAnsi"/>
          <w:lang w:eastAsia="it-IT"/>
        </w:rPr>
        <w:t xml:space="preserve"> Diritto sulle Pubbliche Affissioni (di seguito DPA);</w:t>
      </w:r>
    </w:p>
    <w:p w14:paraId="43AB1FD0" w14:textId="77777777" w:rsidR="00763F3D" w:rsidRPr="00763F3D" w:rsidRDefault="00763F3D" w:rsidP="00763F3D">
      <w:pPr>
        <w:spacing w:after="0" w:line="240" w:lineRule="auto"/>
        <w:jc w:val="both"/>
        <w:rPr>
          <w:rFonts w:eastAsia="Times New Roman" w:cstheme="minorHAnsi"/>
          <w:lang w:eastAsia="it-IT"/>
        </w:rPr>
      </w:pPr>
    </w:p>
    <w:p w14:paraId="30BE4761" w14:textId="726ABB3F"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Dato atto</w:t>
      </w:r>
      <w:r w:rsidRPr="00763F3D">
        <w:rPr>
          <w:rFonts w:eastAsia="Times New Roman" w:cstheme="minorHAnsi"/>
          <w:lang w:eastAsia="it-IT"/>
        </w:rPr>
        <w:t xml:space="preserve"> che la Legge 160/2019, articolo 1, commi 816-847, recante “Bilancio di previsione dello Stato per l’anno finanziario 2020 e bilancio pluriennale per il triennio 2020-2022” istituisce a decorrere dal 2021 il Canone patrimoniale di concessione, autorizzazione o esposizione pubblicitaria in sostituzione di </w:t>
      </w:r>
      <w:r w:rsidR="002E420E" w:rsidRPr="00763F3D">
        <w:rPr>
          <w:rFonts w:eastAsia="Times New Roman" w:cstheme="minorHAnsi"/>
          <w:lang w:eastAsia="it-IT"/>
        </w:rPr>
        <w:t>C</w:t>
      </w:r>
      <w:r w:rsidRPr="00763F3D">
        <w:rPr>
          <w:rFonts w:eastAsia="Times New Roman" w:cstheme="minorHAnsi"/>
          <w:lang w:eastAsia="it-IT"/>
        </w:rPr>
        <w:t>OSAP, ICP, DPA e qualsiasi canone ricognitorio o concessorio previsto da norme di legge e dai regolamenti comunali;</w:t>
      </w:r>
    </w:p>
    <w:p w14:paraId="039E662A" w14:textId="77777777" w:rsidR="00763F3D" w:rsidRPr="00763F3D" w:rsidRDefault="00763F3D" w:rsidP="00763F3D">
      <w:pPr>
        <w:spacing w:after="0" w:line="240" w:lineRule="auto"/>
        <w:ind w:firstLine="709"/>
        <w:jc w:val="both"/>
        <w:rPr>
          <w:rFonts w:eastAsia="Times New Roman" w:cstheme="minorHAnsi"/>
          <w:lang w:eastAsia="it-IT"/>
        </w:rPr>
      </w:pPr>
    </w:p>
    <w:p w14:paraId="0EC511AF" w14:textId="6EC1F98D"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Premesso</w:t>
      </w:r>
      <w:r w:rsidRPr="00763F3D">
        <w:rPr>
          <w:rFonts w:eastAsia="Times New Roman" w:cstheme="minorHAnsi"/>
          <w:lang w:eastAsia="it-IT"/>
        </w:rPr>
        <w:t xml:space="preserve"> che, alla luce di quanto sopra, i previgenti tributi continuano ad esplicare la propria efficacia per i periodi di imposta precedenti al 2021, anche ai fini dell’attività accertativa dell’ufficio competente;</w:t>
      </w:r>
    </w:p>
    <w:p w14:paraId="228F7B14" w14:textId="77777777" w:rsidR="00763F3D" w:rsidRPr="00763F3D" w:rsidRDefault="00763F3D" w:rsidP="00763F3D">
      <w:pPr>
        <w:spacing w:after="0" w:line="240" w:lineRule="auto"/>
        <w:ind w:firstLine="709"/>
        <w:jc w:val="both"/>
        <w:rPr>
          <w:rFonts w:eastAsia="Times New Roman" w:cstheme="minorHAnsi"/>
          <w:lang w:eastAsia="it-IT"/>
        </w:rPr>
      </w:pPr>
    </w:p>
    <w:p w14:paraId="394417F4" w14:textId="77777777" w:rsidR="00167893" w:rsidRPr="00763F3D"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Premesso</w:t>
      </w:r>
      <w:r w:rsidRPr="00763F3D">
        <w:rPr>
          <w:rFonts w:eastAsia="Times New Roman" w:cstheme="minorHAnsi"/>
          <w:lang w:eastAsia="it-IT"/>
        </w:rPr>
        <w:t xml:space="preserve"> che, ai sensi dell’art. 1, comma 819, della suddetta legge il presupposto del canone è:</w:t>
      </w:r>
    </w:p>
    <w:p w14:paraId="0457BA05" w14:textId="77777777" w:rsidR="00167893" w:rsidRPr="00763F3D" w:rsidRDefault="00167893" w:rsidP="00763F3D">
      <w:pPr>
        <w:numPr>
          <w:ilvl w:val="0"/>
          <w:numId w:val="1"/>
        </w:numPr>
        <w:spacing w:after="0" w:line="240" w:lineRule="auto"/>
        <w:ind w:left="426" w:hanging="426"/>
        <w:jc w:val="both"/>
        <w:rPr>
          <w:rFonts w:eastAsia="Times New Roman" w:cstheme="minorHAnsi"/>
          <w:lang w:eastAsia="it-IT"/>
        </w:rPr>
      </w:pPr>
      <w:r w:rsidRPr="00763F3D">
        <w:rPr>
          <w:rFonts w:eastAsia="Times New Roman" w:cstheme="minorHAnsi"/>
          <w:lang w:eastAsia="it-IT"/>
        </w:rPr>
        <w:t>l’occupazione, anche abusiva, delle aree appartenenti al demanio o al patrimonio indisponibile degli enti e degli spazi soprastanti o sottostanti il suolo pubblico;</w:t>
      </w:r>
    </w:p>
    <w:p w14:paraId="34880525" w14:textId="7571749F" w:rsidR="00167893" w:rsidRDefault="00167893" w:rsidP="00763F3D">
      <w:pPr>
        <w:numPr>
          <w:ilvl w:val="0"/>
          <w:numId w:val="1"/>
        </w:numPr>
        <w:spacing w:after="0" w:line="240" w:lineRule="auto"/>
        <w:ind w:left="426" w:hanging="426"/>
        <w:jc w:val="both"/>
        <w:rPr>
          <w:rFonts w:eastAsia="Times New Roman" w:cstheme="minorHAnsi"/>
          <w:lang w:eastAsia="it-IT"/>
        </w:rPr>
      </w:pPr>
      <w:r w:rsidRPr="00763F3D">
        <w:rPr>
          <w:rFonts w:eastAsia="Times New Roman" w:cstheme="minorHAnsi"/>
          <w:lang w:eastAsia="it-IT"/>
        </w:rPr>
        <w:t>la diffusione di messaggi pubblicitari, anche abusiva, mediante impianti installati su aree appartenenti al demanio o al patrimonio indisponibile degli enti, su beni privati laddove siano visibili da luogo pubblico o aperto al pubblico del territorio comunale, ovvero all’esterno di veicoli adibiti a uso pubblico o a uso privato;</w:t>
      </w:r>
    </w:p>
    <w:p w14:paraId="1C93E71C" w14:textId="77777777" w:rsidR="00763F3D" w:rsidRPr="00763F3D" w:rsidRDefault="00763F3D" w:rsidP="00763F3D">
      <w:pPr>
        <w:spacing w:after="0" w:line="240" w:lineRule="auto"/>
        <w:jc w:val="both"/>
        <w:rPr>
          <w:rFonts w:eastAsia="Times New Roman" w:cstheme="minorHAnsi"/>
          <w:lang w:eastAsia="it-IT"/>
        </w:rPr>
      </w:pPr>
    </w:p>
    <w:p w14:paraId="613A202D" w14:textId="7115CDA6"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Dato atto</w:t>
      </w:r>
      <w:r w:rsidRPr="00763F3D">
        <w:rPr>
          <w:rFonts w:eastAsia="Times New Roman" w:cstheme="minorHAnsi"/>
          <w:lang w:eastAsia="it-IT"/>
        </w:rPr>
        <w:t xml:space="preserve"> che, ai sensi dell’art. 1, comma 820, della L. 160/2019 il nuovo canone è caratterizzato dal principio dell’alternatività ovvero “l’applicazione del canone dovuto per la diffusione dei messaggi pubblicitari esclude l’applicazione del canone dovuto per le occupazioni di cui alla lettera a) del comma 819”;</w:t>
      </w:r>
    </w:p>
    <w:p w14:paraId="6C7F4726" w14:textId="77777777" w:rsidR="00763F3D" w:rsidRPr="00763F3D" w:rsidRDefault="00763F3D" w:rsidP="00763F3D">
      <w:pPr>
        <w:spacing w:after="0" w:line="240" w:lineRule="auto"/>
        <w:ind w:firstLine="709"/>
        <w:jc w:val="both"/>
        <w:rPr>
          <w:rFonts w:eastAsia="Times New Roman" w:cstheme="minorHAnsi"/>
          <w:lang w:eastAsia="it-IT"/>
        </w:rPr>
      </w:pPr>
    </w:p>
    <w:p w14:paraId="0DF13FFC" w14:textId="69D961BB"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Dato atto</w:t>
      </w:r>
      <w:r w:rsidRPr="00763F3D">
        <w:rPr>
          <w:rFonts w:eastAsia="Times New Roman" w:cstheme="minorHAnsi"/>
          <w:lang w:eastAsia="it-IT"/>
        </w:rPr>
        <w:t xml:space="preserve"> che, con apposito Regolamento da adottarsi, ai sensi dell’art. 52 del decreto legislativo n. 446</w:t>
      </w:r>
      <w:r w:rsidR="002E420E" w:rsidRPr="00763F3D">
        <w:rPr>
          <w:rFonts w:eastAsia="Times New Roman" w:cstheme="minorHAnsi"/>
          <w:lang w:eastAsia="it-IT"/>
        </w:rPr>
        <w:t>/</w:t>
      </w:r>
      <w:r w:rsidRPr="00763F3D">
        <w:rPr>
          <w:rFonts w:eastAsia="Times New Roman" w:cstheme="minorHAnsi"/>
          <w:lang w:eastAsia="it-IT"/>
        </w:rPr>
        <w:t>1997, con deliberazione di Consiglio Comunale, verrà stabilita la disciplina del presente Canone unico;</w:t>
      </w:r>
    </w:p>
    <w:p w14:paraId="5387368C" w14:textId="77777777" w:rsidR="00763F3D" w:rsidRPr="00763F3D" w:rsidRDefault="00763F3D" w:rsidP="00763F3D">
      <w:pPr>
        <w:spacing w:after="0" w:line="240" w:lineRule="auto"/>
        <w:ind w:firstLine="709"/>
        <w:jc w:val="both"/>
        <w:rPr>
          <w:rFonts w:eastAsia="Times New Roman" w:cstheme="minorHAnsi"/>
          <w:lang w:eastAsia="it-IT"/>
        </w:rPr>
      </w:pPr>
    </w:p>
    <w:p w14:paraId="7B304DA8" w14:textId="05447D1E"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Considerato</w:t>
      </w:r>
      <w:r w:rsidRPr="00763F3D">
        <w:rPr>
          <w:rFonts w:eastAsia="Times New Roman" w:cstheme="minorHAnsi"/>
          <w:lang w:eastAsia="it-IT"/>
        </w:rPr>
        <w:t xml:space="preserve"> che, ai sensi dell’art. 1 comma 817 </w:t>
      </w:r>
      <w:r w:rsidR="002E420E" w:rsidRPr="00763F3D">
        <w:rPr>
          <w:rFonts w:eastAsia="Times New Roman" w:cstheme="minorHAnsi"/>
          <w:lang w:eastAsia="it-IT"/>
        </w:rPr>
        <w:t>della</w:t>
      </w:r>
      <w:r w:rsidRPr="00763F3D">
        <w:rPr>
          <w:rFonts w:eastAsia="Times New Roman" w:cstheme="minorHAnsi"/>
          <w:lang w:eastAsia="it-IT"/>
        </w:rPr>
        <w:t xml:space="preserve"> suddetta legge, il Canone unico è disciplinato dagli enti in modo da assicurare un gettito pari a quello conseguito dai canoni e dai tributi che sono sostituiti dal presente canone, fatta salva, in ogni caso, la possibilità di variare il gettito attraverso le tariffe;</w:t>
      </w:r>
    </w:p>
    <w:p w14:paraId="2F809CB9" w14:textId="77777777" w:rsidR="00763F3D" w:rsidRPr="00763F3D" w:rsidRDefault="00763F3D" w:rsidP="00763F3D">
      <w:pPr>
        <w:spacing w:after="0" w:line="240" w:lineRule="auto"/>
        <w:ind w:firstLine="709"/>
        <w:jc w:val="both"/>
        <w:rPr>
          <w:rFonts w:eastAsia="Times New Roman" w:cstheme="minorHAnsi"/>
          <w:lang w:eastAsia="it-IT"/>
        </w:rPr>
      </w:pPr>
    </w:p>
    <w:p w14:paraId="07201F32" w14:textId="74094137"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Dato atto</w:t>
      </w:r>
      <w:r w:rsidRPr="00763F3D">
        <w:rPr>
          <w:rFonts w:eastAsia="Times New Roman" w:cstheme="minorHAnsi"/>
          <w:lang w:eastAsia="it-IT"/>
        </w:rPr>
        <w:t xml:space="preserve"> che lo schema di tariffe che si andrà ad approvare con la presente deliberazione tende a realizzare una invarianza di gettito;</w:t>
      </w:r>
    </w:p>
    <w:p w14:paraId="2217DD48" w14:textId="77777777" w:rsidR="00763F3D" w:rsidRPr="00763F3D" w:rsidRDefault="00763F3D" w:rsidP="00763F3D">
      <w:pPr>
        <w:spacing w:after="0" w:line="240" w:lineRule="auto"/>
        <w:ind w:firstLine="709"/>
        <w:jc w:val="both"/>
        <w:rPr>
          <w:rFonts w:eastAsia="Times New Roman" w:cstheme="minorHAnsi"/>
          <w:lang w:eastAsia="it-IT"/>
        </w:rPr>
      </w:pPr>
    </w:p>
    <w:p w14:paraId="765969B3" w14:textId="0890E834" w:rsidR="00167893" w:rsidRPr="00763F3D"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Considerata</w:t>
      </w:r>
      <w:r w:rsidRPr="00763F3D">
        <w:rPr>
          <w:rFonts w:eastAsia="Times New Roman" w:cstheme="minorHAnsi"/>
          <w:lang w:eastAsia="it-IT"/>
        </w:rPr>
        <w:t xml:space="preserve"> pertanto la necessità di provvedere alla contestuale determinazione delle tariffe del Canone unico patrimoniale, come da allegati B e C, parti integranti e sostanziali del presente atto;</w:t>
      </w:r>
    </w:p>
    <w:p w14:paraId="3A28CC96" w14:textId="77777777" w:rsidR="00763F3D" w:rsidRPr="00763F3D" w:rsidRDefault="00763F3D" w:rsidP="00763F3D">
      <w:pPr>
        <w:spacing w:after="0" w:line="240" w:lineRule="auto"/>
        <w:ind w:firstLine="709"/>
        <w:jc w:val="both"/>
        <w:rPr>
          <w:rFonts w:eastAsia="Times New Roman" w:cstheme="minorHAnsi"/>
          <w:lang w:eastAsia="it-IT"/>
        </w:rPr>
      </w:pPr>
    </w:p>
    <w:p w14:paraId="5F38DC21" w14:textId="4A3D6B16"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Ritenuto</w:t>
      </w:r>
      <w:r w:rsidRPr="00763F3D">
        <w:rPr>
          <w:rFonts w:eastAsia="Times New Roman" w:cstheme="minorHAnsi"/>
          <w:lang w:eastAsia="it-IT"/>
        </w:rPr>
        <w:t>, altresì, necessario approvare l’allegato A, parte integrante e sostanziale del presente provvedimento, contenente la classificazione delle strade del centro abitato in due categorie rilevante al fine dell’applicazione della tariffa per l’occupazione del suolo, compresi gli spazi soprastanti e sottostanti, nonché per l’esposizione di mezzi pubblicitari;</w:t>
      </w:r>
    </w:p>
    <w:p w14:paraId="3142079B" w14:textId="77777777" w:rsidR="00763F3D" w:rsidRPr="00763F3D" w:rsidRDefault="00763F3D" w:rsidP="00763F3D">
      <w:pPr>
        <w:spacing w:after="0" w:line="240" w:lineRule="auto"/>
        <w:ind w:firstLine="709"/>
        <w:jc w:val="both"/>
        <w:rPr>
          <w:rFonts w:eastAsia="Times New Roman" w:cstheme="minorHAnsi"/>
          <w:lang w:eastAsia="it-IT"/>
        </w:rPr>
      </w:pPr>
    </w:p>
    <w:p w14:paraId="2361D19B" w14:textId="4D2A8C44"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Dato atto</w:t>
      </w:r>
      <w:r w:rsidRPr="00763F3D">
        <w:rPr>
          <w:rFonts w:eastAsia="Times New Roman" w:cstheme="minorHAnsi"/>
          <w:lang w:eastAsia="it-IT"/>
        </w:rPr>
        <w:t xml:space="preserve"> che l’istituzione del Canone unico, nonché la determinazione delle relative tariffe e del relativo Regolamento, rientrano tra gli obiettivi strategici attribuiti all’Area Finanziaria;</w:t>
      </w:r>
    </w:p>
    <w:p w14:paraId="7453E710" w14:textId="77777777" w:rsidR="00763F3D" w:rsidRPr="00763F3D" w:rsidRDefault="00763F3D" w:rsidP="00763F3D">
      <w:pPr>
        <w:spacing w:after="0" w:line="240" w:lineRule="auto"/>
        <w:ind w:firstLine="709"/>
        <w:jc w:val="both"/>
        <w:rPr>
          <w:rFonts w:eastAsia="Times New Roman" w:cstheme="minorHAnsi"/>
          <w:lang w:eastAsia="it-IT"/>
        </w:rPr>
      </w:pPr>
    </w:p>
    <w:p w14:paraId="7AB2E532" w14:textId="51D45343"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 xml:space="preserve">Visto </w:t>
      </w:r>
      <w:r w:rsidRPr="00763F3D">
        <w:rPr>
          <w:rFonts w:eastAsia="Times New Roman" w:cstheme="minorHAnsi"/>
          <w:lang w:eastAsia="it-IT"/>
        </w:rPr>
        <w:t>il D.</w:t>
      </w:r>
      <w:r w:rsidR="00784FB5" w:rsidRPr="00763F3D">
        <w:rPr>
          <w:rFonts w:eastAsia="Times New Roman" w:cstheme="minorHAnsi"/>
          <w:lang w:eastAsia="it-IT"/>
        </w:rPr>
        <w:t xml:space="preserve"> </w:t>
      </w:r>
      <w:r w:rsidRPr="00763F3D">
        <w:rPr>
          <w:rFonts w:eastAsia="Times New Roman" w:cstheme="minorHAnsi"/>
          <w:lang w:eastAsia="it-IT"/>
        </w:rPr>
        <w:t>Lgs. n. 267/2000 “Testo unico delle leggi sull'ordinamento degli enti locali” ed in particolare gli articoli 42 comma 2, lettera f) e 48, che attribuiscono alla Giunta Comunale la competenza per la determinazione delle tariffe da approvare entro i termini di approvazione del bilancio di previsione;</w:t>
      </w:r>
    </w:p>
    <w:p w14:paraId="598B1452" w14:textId="77777777" w:rsidR="00763F3D" w:rsidRPr="00763F3D" w:rsidRDefault="00763F3D" w:rsidP="00763F3D">
      <w:pPr>
        <w:spacing w:after="0" w:line="240" w:lineRule="auto"/>
        <w:ind w:firstLine="709"/>
        <w:jc w:val="both"/>
        <w:rPr>
          <w:rFonts w:eastAsia="Times New Roman" w:cstheme="minorHAnsi"/>
          <w:lang w:eastAsia="it-IT"/>
        </w:rPr>
      </w:pPr>
    </w:p>
    <w:p w14:paraId="3C0FB0B7" w14:textId="4797659B" w:rsidR="00167893" w:rsidRDefault="00167893" w:rsidP="00763F3D">
      <w:pPr>
        <w:spacing w:after="0" w:line="240" w:lineRule="auto"/>
        <w:ind w:firstLine="709"/>
        <w:jc w:val="both"/>
        <w:rPr>
          <w:rFonts w:eastAsia="Times New Roman" w:cstheme="minorHAnsi"/>
          <w:lang w:eastAsia="it-IT"/>
        </w:rPr>
      </w:pPr>
      <w:r w:rsidRPr="00763F3D">
        <w:rPr>
          <w:rFonts w:eastAsia="Times New Roman" w:cstheme="minorHAnsi"/>
          <w:b/>
          <w:bCs/>
          <w:lang w:eastAsia="it-IT"/>
        </w:rPr>
        <w:t>Visto</w:t>
      </w:r>
      <w:r w:rsidRPr="00763F3D">
        <w:rPr>
          <w:rFonts w:eastAsia="Times New Roman" w:cstheme="minorHAnsi"/>
          <w:lang w:eastAsia="it-IT"/>
        </w:rPr>
        <w:t xml:space="preserve"> l’art. 151 del D.</w:t>
      </w:r>
      <w:r w:rsidR="00784FB5" w:rsidRPr="00763F3D">
        <w:rPr>
          <w:rFonts w:eastAsia="Times New Roman" w:cstheme="minorHAnsi"/>
          <w:lang w:eastAsia="it-IT"/>
        </w:rPr>
        <w:t xml:space="preserve"> </w:t>
      </w:r>
      <w:r w:rsidRPr="00763F3D">
        <w:rPr>
          <w:rFonts w:eastAsia="Times New Roman" w:cstheme="minorHAnsi"/>
          <w:lang w:eastAsia="it-IT"/>
        </w:rPr>
        <w:t>Lgs. 267/2000 che fissa al 31 dicembre il termine di approvazione del bilancio di previsione per l’anno successivo, termine che può essere differito con decreto del Ministro dell'interno, d'intesa con il Ministro dell'economia e delle finanze, sentita la Conferenza Stato-città ed autonomie locali, in presenza di motivate esigenze.;</w:t>
      </w:r>
    </w:p>
    <w:p w14:paraId="1621C0A8" w14:textId="77777777" w:rsidR="00763F3D" w:rsidRPr="00763F3D" w:rsidRDefault="00763F3D" w:rsidP="00763F3D">
      <w:pPr>
        <w:spacing w:after="0" w:line="240" w:lineRule="auto"/>
        <w:ind w:firstLine="709"/>
        <w:jc w:val="both"/>
        <w:rPr>
          <w:rFonts w:eastAsia="Times New Roman" w:cstheme="minorHAnsi"/>
          <w:lang w:eastAsia="it-IT"/>
        </w:rPr>
      </w:pPr>
    </w:p>
    <w:p w14:paraId="3B0AA969" w14:textId="77777777" w:rsidR="00763F3D" w:rsidRPr="00841135" w:rsidRDefault="00763F3D" w:rsidP="00763F3D">
      <w:pPr>
        <w:pStyle w:val="Default"/>
        <w:ind w:firstLine="708"/>
        <w:jc w:val="both"/>
        <w:rPr>
          <w:rFonts w:ascii="Calibri" w:hAnsi="Calibri"/>
          <w:sz w:val="22"/>
          <w:szCs w:val="22"/>
        </w:rPr>
      </w:pPr>
      <w:r w:rsidRPr="00763F3D">
        <w:rPr>
          <w:rFonts w:ascii="Calibri" w:hAnsi="Calibri"/>
          <w:b/>
          <w:bCs/>
          <w:sz w:val="22"/>
          <w:szCs w:val="22"/>
        </w:rPr>
        <w:t xml:space="preserve">Visto </w:t>
      </w:r>
      <w:r>
        <w:rPr>
          <w:rFonts w:ascii="Calibri" w:hAnsi="Calibri"/>
          <w:sz w:val="22"/>
          <w:szCs w:val="22"/>
        </w:rPr>
        <w:t>il Decreto del Ministero dell’Interno del 13 gennaio 2021</w:t>
      </w:r>
      <w:r w:rsidRPr="00841135">
        <w:rPr>
          <w:rFonts w:ascii="Calibri" w:hAnsi="Calibri"/>
          <w:sz w:val="22"/>
          <w:szCs w:val="22"/>
        </w:rPr>
        <w:t xml:space="preserve">, pubblicato </w:t>
      </w:r>
      <w:r>
        <w:rPr>
          <w:rFonts w:ascii="Calibri" w:hAnsi="Calibri"/>
          <w:sz w:val="22"/>
          <w:szCs w:val="22"/>
        </w:rPr>
        <w:t>su</w:t>
      </w:r>
      <w:r w:rsidRPr="00841135">
        <w:rPr>
          <w:rFonts w:ascii="Calibri" w:hAnsi="Calibri"/>
          <w:sz w:val="22"/>
          <w:szCs w:val="22"/>
        </w:rPr>
        <w:t xml:space="preserve">lla G.U. n. </w:t>
      </w:r>
      <w:r>
        <w:rPr>
          <w:rFonts w:ascii="Calibri" w:hAnsi="Calibri"/>
          <w:sz w:val="22"/>
          <w:szCs w:val="22"/>
        </w:rPr>
        <w:t>13</w:t>
      </w:r>
      <w:r w:rsidRPr="00841135">
        <w:rPr>
          <w:rFonts w:ascii="Calibri" w:hAnsi="Calibri"/>
          <w:sz w:val="22"/>
          <w:szCs w:val="22"/>
        </w:rPr>
        <w:t xml:space="preserve"> del </w:t>
      </w:r>
      <w:r>
        <w:rPr>
          <w:rFonts w:ascii="Calibri" w:hAnsi="Calibri"/>
          <w:sz w:val="22"/>
          <w:szCs w:val="22"/>
        </w:rPr>
        <w:t>18.01.2021</w:t>
      </w:r>
      <w:r w:rsidRPr="00841135">
        <w:rPr>
          <w:rFonts w:ascii="Calibri" w:hAnsi="Calibri"/>
          <w:sz w:val="22"/>
          <w:szCs w:val="22"/>
        </w:rPr>
        <w:t xml:space="preserve">, che ha differito al </w:t>
      </w:r>
      <w:r>
        <w:rPr>
          <w:rFonts w:ascii="Calibri" w:hAnsi="Calibri"/>
          <w:sz w:val="22"/>
          <w:szCs w:val="22"/>
        </w:rPr>
        <w:t>31 marzo 2021</w:t>
      </w:r>
      <w:r w:rsidRPr="00841135">
        <w:rPr>
          <w:rFonts w:ascii="Calibri" w:hAnsi="Calibri"/>
          <w:sz w:val="22"/>
          <w:szCs w:val="22"/>
        </w:rPr>
        <w:t xml:space="preserve"> il termine per la deliberazione del bilancio di previsione</w:t>
      </w:r>
      <w:r>
        <w:rPr>
          <w:rFonts w:ascii="Calibri" w:hAnsi="Calibri"/>
          <w:sz w:val="22"/>
          <w:szCs w:val="22"/>
        </w:rPr>
        <w:t xml:space="preserve"> 2021/2023 da parte d</w:t>
      </w:r>
      <w:r w:rsidRPr="00841135">
        <w:rPr>
          <w:rFonts w:ascii="Calibri" w:hAnsi="Calibri"/>
          <w:sz w:val="22"/>
          <w:szCs w:val="22"/>
        </w:rPr>
        <w:t>egli enti locali;</w:t>
      </w:r>
    </w:p>
    <w:p w14:paraId="1376237E" w14:textId="77777777" w:rsidR="00763F3D" w:rsidRDefault="00763F3D" w:rsidP="00763F3D">
      <w:pPr>
        <w:shd w:val="clear" w:color="auto" w:fill="FFFFFF"/>
        <w:autoSpaceDE w:val="0"/>
        <w:autoSpaceDN w:val="0"/>
        <w:adjustRightInd w:val="0"/>
        <w:spacing w:after="0" w:line="240" w:lineRule="auto"/>
        <w:jc w:val="both"/>
        <w:rPr>
          <w:rFonts w:ascii="Calibri" w:hAnsi="Calibri"/>
        </w:rPr>
      </w:pPr>
    </w:p>
    <w:p w14:paraId="363C63B4" w14:textId="14EC643B" w:rsidR="00763F3D" w:rsidRPr="000221A0" w:rsidRDefault="00763F3D" w:rsidP="00763F3D">
      <w:pPr>
        <w:spacing w:after="0" w:line="240" w:lineRule="auto"/>
        <w:ind w:firstLine="708"/>
        <w:jc w:val="both"/>
        <w:rPr>
          <w:rFonts w:ascii="Calibri" w:hAnsi="Calibri"/>
        </w:rPr>
      </w:pPr>
      <w:r w:rsidRPr="000221A0">
        <w:rPr>
          <w:rFonts w:ascii="Calibri" w:hAnsi="Calibri"/>
          <w:b/>
        </w:rPr>
        <w:t>Accertato</w:t>
      </w:r>
      <w:r w:rsidRPr="000221A0">
        <w:rPr>
          <w:rFonts w:ascii="Calibri" w:hAnsi="Calibri"/>
        </w:rPr>
        <w:t xml:space="preserve"> che, ai sensi e per gli effetti degli artt. 49 co.1 e 147bis del D.</w:t>
      </w:r>
      <w:r>
        <w:rPr>
          <w:rFonts w:ascii="Calibri" w:hAnsi="Calibri"/>
        </w:rPr>
        <w:t xml:space="preserve"> </w:t>
      </w:r>
      <w:r w:rsidRPr="000221A0">
        <w:rPr>
          <w:rFonts w:ascii="Calibri" w:hAnsi="Calibri"/>
        </w:rPr>
        <w:t>Lgs. 267/00, è stato richiesto, in merito al presente provvedimento, il parere del Responsabile de</w:t>
      </w:r>
      <w:r w:rsidR="004277F4">
        <w:rPr>
          <w:rFonts w:ascii="Calibri" w:hAnsi="Calibri"/>
        </w:rPr>
        <w:t>l</w:t>
      </w:r>
      <w:r w:rsidRPr="000221A0">
        <w:rPr>
          <w:rFonts w:ascii="Calibri" w:hAnsi="Calibri"/>
        </w:rPr>
        <w:t xml:space="preserve"> </w:t>
      </w:r>
      <w:r>
        <w:rPr>
          <w:rFonts w:ascii="Calibri" w:hAnsi="Calibri"/>
        </w:rPr>
        <w:t xml:space="preserve">Settore </w:t>
      </w:r>
      <w:r w:rsidRPr="000221A0">
        <w:rPr>
          <w:rFonts w:ascii="Calibri" w:hAnsi="Calibri"/>
        </w:rPr>
        <w:t>Servizi</w:t>
      </w:r>
      <w:r>
        <w:rPr>
          <w:rFonts w:ascii="Calibri" w:hAnsi="Calibri"/>
        </w:rPr>
        <w:t xml:space="preserve">o Economico-Finanziario </w:t>
      </w:r>
      <w:r w:rsidRPr="000221A0">
        <w:rPr>
          <w:rFonts w:ascii="Calibri" w:hAnsi="Calibri"/>
        </w:rPr>
        <w:t xml:space="preserve">in ordine alla regolarità </w:t>
      </w:r>
      <w:r>
        <w:rPr>
          <w:rFonts w:ascii="Calibri" w:hAnsi="Calibri"/>
        </w:rPr>
        <w:t xml:space="preserve">tecnica e </w:t>
      </w:r>
      <w:r w:rsidRPr="000221A0">
        <w:rPr>
          <w:rFonts w:ascii="Calibri" w:hAnsi="Calibri"/>
        </w:rPr>
        <w:t xml:space="preserve">contabile; </w:t>
      </w:r>
    </w:p>
    <w:p w14:paraId="45C9BC71" w14:textId="77777777" w:rsidR="00763F3D" w:rsidRPr="000221A0" w:rsidRDefault="00763F3D" w:rsidP="00763F3D">
      <w:pPr>
        <w:spacing w:after="0" w:line="240" w:lineRule="auto"/>
        <w:jc w:val="both"/>
        <w:rPr>
          <w:rFonts w:ascii="Calibri" w:hAnsi="Calibri"/>
        </w:rPr>
      </w:pPr>
    </w:p>
    <w:p w14:paraId="674F22E6" w14:textId="63BC2C9B" w:rsidR="00763F3D" w:rsidRPr="000221A0" w:rsidRDefault="00763F3D" w:rsidP="00763F3D">
      <w:pPr>
        <w:spacing w:after="0" w:line="240" w:lineRule="auto"/>
        <w:ind w:firstLine="708"/>
        <w:jc w:val="both"/>
        <w:rPr>
          <w:rFonts w:ascii="Calibri" w:hAnsi="Calibri"/>
        </w:rPr>
      </w:pPr>
      <w:r w:rsidRPr="000221A0">
        <w:rPr>
          <w:rFonts w:ascii="Calibri" w:hAnsi="Calibri"/>
          <w:b/>
        </w:rPr>
        <w:t>Considerato</w:t>
      </w:r>
      <w:r w:rsidRPr="000221A0">
        <w:rPr>
          <w:rFonts w:ascii="Calibri" w:hAnsi="Calibri"/>
        </w:rPr>
        <w:t xml:space="preserve"> che dett</w:t>
      </w:r>
      <w:r>
        <w:rPr>
          <w:rFonts w:ascii="Calibri" w:hAnsi="Calibri"/>
        </w:rPr>
        <w:t>o</w:t>
      </w:r>
      <w:r w:rsidRPr="000221A0">
        <w:rPr>
          <w:rFonts w:ascii="Calibri" w:hAnsi="Calibri"/>
        </w:rPr>
        <w:t xml:space="preserve"> parer</w:t>
      </w:r>
      <w:r>
        <w:rPr>
          <w:rFonts w:ascii="Calibri" w:hAnsi="Calibri"/>
        </w:rPr>
        <w:t>e</w:t>
      </w:r>
      <w:r w:rsidRPr="000221A0">
        <w:rPr>
          <w:rFonts w:ascii="Calibri" w:hAnsi="Calibri"/>
        </w:rPr>
        <w:t>, riprodott</w:t>
      </w:r>
      <w:r>
        <w:rPr>
          <w:rFonts w:ascii="Calibri" w:hAnsi="Calibri"/>
        </w:rPr>
        <w:t>o</w:t>
      </w:r>
      <w:r w:rsidRPr="000221A0">
        <w:rPr>
          <w:rFonts w:ascii="Calibri" w:hAnsi="Calibri"/>
        </w:rPr>
        <w:t xml:space="preserve"> nell'allegato, </w:t>
      </w:r>
      <w:r>
        <w:rPr>
          <w:rFonts w:ascii="Calibri" w:hAnsi="Calibri"/>
        </w:rPr>
        <w:t xml:space="preserve">è </w:t>
      </w:r>
      <w:r w:rsidRPr="000221A0">
        <w:rPr>
          <w:rFonts w:ascii="Calibri" w:hAnsi="Calibri"/>
        </w:rPr>
        <w:t>favorevol</w:t>
      </w:r>
      <w:r>
        <w:rPr>
          <w:rFonts w:ascii="Calibri" w:hAnsi="Calibri"/>
        </w:rPr>
        <w:t>e</w:t>
      </w:r>
      <w:r w:rsidRPr="000221A0">
        <w:rPr>
          <w:rFonts w:ascii="Calibri" w:hAnsi="Calibri"/>
        </w:rPr>
        <w:t xml:space="preserve">, per cui, per quanto attiene la normativa citata, il presente provvedimento contiene ogni elemento essenziale del procedimento richiesto dalle vigenti disposizioni in materia; </w:t>
      </w:r>
    </w:p>
    <w:p w14:paraId="61FAC850" w14:textId="77777777" w:rsidR="00763F3D" w:rsidRPr="000221A0" w:rsidRDefault="00763F3D" w:rsidP="00763F3D">
      <w:pPr>
        <w:spacing w:after="0" w:line="240" w:lineRule="auto"/>
        <w:ind w:firstLine="708"/>
        <w:jc w:val="both"/>
        <w:rPr>
          <w:rFonts w:ascii="Calibri" w:hAnsi="Calibri"/>
        </w:rPr>
      </w:pPr>
    </w:p>
    <w:p w14:paraId="6CE3A171" w14:textId="77777777" w:rsidR="00763F3D" w:rsidRPr="000221A0" w:rsidRDefault="00763F3D" w:rsidP="00763F3D">
      <w:pPr>
        <w:spacing w:after="0" w:line="240" w:lineRule="auto"/>
        <w:ind w:firstLine="708"/>
        <w:jc w:val="both"/>
        <w:rPr>
          <w:rFonts w:ascii="Calibri" w:hAnsi="Calibri"/>
        </w:rPr>
      </w:pPr>
      <w:r w:rsidRPr="000221A0">
        <w:rPr>
          <w:rFonts w:ascii="Calibri" w:hAnsi="Calibri"/>
        </w:rPr>
        <w:t>Ad unanimità di voti espressi nei modi e nelle forme di legge;</w:t>
      </w:r>
    </w:p>
    <w:p w14:paraId="73B559F8" w14:textId="77777777" w:rsidR="00763F3D" w:rsidRPr="000221A0" w:rsidRDefault="00763F3D" w:rsidP="00763F3D">
      <w:pPr>
        <w:spacing w:after="0" w:line="240" w:lineRule="auto"/>
        <w:jc w:val="both"/>
        <w:rPr>
          <w:rFonts w:ascii="Calibri" w:hAnsi="Calibri"/>
          <w:bCs/>
        </w:rPr>
      </w:pPr>
    </w:p>
    <w:p w14:paraId="0F496AEB" w14:textId="77777777" w:rsidR="00763F3D" w:rsidRPr="000221A0" w:rsidRDefault="00763F3D" w:rsidP="00763F3D">
      <w:pPr>
        <w:spacing w:after="0" w:line="240" w:lineRule="auto"/>
        <w:jc w:val="both"/>
        <w:rPr>
          <w:rFonts w:ascii="Calibri" w:hAnsi="Calibri"/>
          <w:bCs/>
        </w:rPr>
      </w:pPr>
    </w:p>
    <w:p w14:paraId="0E977B89" w14:textId="77777777" w:rsidR="00763F3D" w:rsidRPr="000221A0" w:rsidRDefault="00763F3D" w:rsidP="00763F3D">
      <w:pPr>
        <w:spacing w:after="0" w:line="240" w:lineRule="auto"/>
        <w:jc w:val="center"/>
        <w:rPr>
          <w:rFonts w:ascii="Calibri" w:hAnsi="Calibri"/>
          <w:b/>
          <w:bCs/>
          <w:sz w:val="28"/>
          <w:szCs w:val="28"/>
        </w:rPr>
      </w:pPr>
      <w:r w:rsidRPr="000221A0">
        <w:rPr>
          <w:rFonts w:ascii="Calibri" w:hAnsi="Calibri"/>
          <w:b/>
          <w:bCs/>
          <w:sz w:val="28"/>
          <w:szCs w:val="28"/>
        </w:rPr>
        <w:t>D E L I B E R A</w:t>
      </w:r>
    </w:p>
    <w:p w14:paraId="646AF927" w14:textId="77777777" w:rsidR="00763F3D" w:rsidRPr="000221A0" w:rsidRDefault="00763F3D" w:rsidP="00763F3D">
      <w:pPr>
        <w:spacing w:after="0" w:line="240" w:lineRule="auto"/>
        <w:jc w:val="both"/>
        <w:rPr>
          <w:rFonts w:ascii="Calibri" w:hAnsi="Calibri"/>
        </w:rPr>
      </w:pPr>
    </w:p>
    <w:p w14:paraId="6362C362" w14:textId="77777777" w:rsidR="00167893" w:rsidRPr="00763F3D" w:rsidRDefault="00167893" w:rsidP="00763F3D">
      <w:pPr>
        <w:spacing w:after="0" w:line="240" w:lineRule="auto"/>
        <w:rPr>
          <w:rFonts w:eastAsia="Times New Roman" w:cstheme="minorHAnsi"/>
          <w:lang w:eastAsia="it-IT"/>
        </w:rPr>
      </w:pPr>
    </w:p>
    <w:p w14:paraId="5EEE7DA9" w14:textId="4508116C" w:rsidR="00167893" w:rsidRDefault="00167893" w:rsidP="00763F3D">
      <w:pPr>
        <w:widowControl w:val="0"/>
        <w:numPr>
          <w:ilvl w:val="0"/>
          <w:numId w:val="5"/>
        </w:numPr>
        <w:autoSpaceDE w:val="0"/>
        <w:autoSpaceDN w:val="0"/>
        <w:spacing w:after="0" w:line="240" w:lineRule="auto"/>
        <w:ind w:left="426" w:hanging="426"/>
        <w:rPr>
          <w:rFonts w:eastAsia="Times New Roman" w:cstheme="minorHAnsi"/>
          <w:lang w:eastAsia="it-IT"/>
        </w:rPr>
      </w:pPr>
      <w:r w:rsidRPr="00763F3D">
        <w:rPr>
          <w:rFonts w:eastAsia="Times New Roman" w:cstheme="minorHAnsi"/>
          <w:lang w:eastAsia="it-IT"/>
        </w:rPr>
        <w:t>di dare atto che le premesse sono parte integrante e sostanziale del presente</w:t>
      </w:r>
      <w:r w:rsidRPr="00763F3D">
        <w:rPr>
          <w:rFonts w:eastAsia="Times New Roman" w:cstheme="minorHAnsi"/>
          <w:spacing w:val="-15"/>
          <w:lang w:eastAsia="it-IT"/>
        </w:rPr>
        <w:t xml:space="preserve"> </w:t>
      </w:r>
      <w:r w:rsidRPr="00763F3D">
        <w:rPr>
          <w:rFonts w:eastAsia="Times New Roman" w:cstheme="minorHAnsi"/>
          <w:lang w:eastAsia="it-IT"/>
        </w:rPr>
        <w:t>atto;</w:t>
      </w:r>
    </w:p>
    <w:p w14:paraId="61914847" w14:textId="77777777" w:rsidR="00763F3D" w:rsidRPr="00763F3D" w:rsidRDefault="00763F3D" w:rsidP="00763F3D">
      <w:pPr>
        <w:widowControl w:val="0"/>
        <w:autoSpaceDE w:val="0"/>
        <w:autoSpaceDN w:val="0"/>
        <w:spacing w:after="0" w:line="240" w:lineRule="auto"/>
        <w:ind w:left="426" w:hanging="426"/>
        <w:rPr>
          <w:rFonts w:eastAsia="Times New Roman" w:cstheme="minorHAnsi"/>
          <w:lang w:eastAsia="it-IT"/>
        </w:rPr>
      </w:pPr>
    </w:p>
    <w:p w14:paraId="04C603F6" w14:textId="1D8EC927" w:rsidR="00167893" w:rsidRDefault="00167893" w:rsidP="00763F3D">
      <w:pPr>
        <w:widowControl w:val="0"/>
        <w:numPr>
          <w:ilvl w:val="0"/>
          <w:numId w:val="5"/>
        </w:numPr>
        <w:tabs>
          <w:tab w:val="left" w:pos="619"/>
        </w:tabs>
        <w:autoSpaceDE w:val="0"/>
        <w:autoSpaceDN w:val="0"/>
        <w:spacing w:after="0" w:line="240" w:lineRule="auto"/>
        <w:ind w:left="426" w:right="132" w:hanging="426"/>
        <w:jc w:val="both"/>
        <w:rPr>
          <w:rFonts w:eastAsia="Times New Roman" w:cstheme="minorHAnsi"/>
          <w:lang w:eastAsia="it-IT"/>
        </w:rPr>
      </w:pPr>
      <w:r w:rsidRPr="00763F3D">
        <w:rPr>
          <w:rFonts w:eastAsia="Times New Roman" w:cstheme="minorHAnsi"/>
          <w:lang w:eastAsia="it-IT"/>
        </w:rPr>
        <w:t>di approvare le tariffe 2021 del Canone unico come da allegati A, B e C, parti integranti e sostanziali del presente</w:t>
      </w:r>
      <w:r w:rsidRPr="00763F3D">
        <w:rPr>
          <w:rFonts w:eastAsia="Times New Roman" w:cstheme="minorHAnsi"/>
          <w:spacing w:val="-2"/>
          <w:lang w:eastAsia="it-IT"/>
        </w:rPr>
        <w:t xml:space="preserve"> </w:t>
      </w:r>
      <w:r w:rsidRPr="00763F3D">
        <w:rPr>
          <w:rFonts w:eastAsia="Times New Roman" w:cstheme="minorHAnsi"/>
          <w:lang w:eastAsia="it-IT"/>
        </w:rPr>
        <w:t>atto;</w:t>
      </w:r>
    </w:p>
    <w:p w14:paraId="09C78C3A" w14:textId="77777777" w:rsidR="00763F3D" w:rsidRPr="00763F3D" w:rsidRDefault="00763F3D" w:rsidP="00763F3D">
      <w:pPr>
        <w:widowControl w:val="0"/>
        <w:tabs>
          <w:tab w:val="left" w:pos="619"/>
        </w:tabs>
        <w:autoSpaceDE w:val="0"/>
        <w:autoSpaceDN w:val="0"/>
        <w:spacing w:after="0" w:line="240" w:lineRule="auto"/>
        <w:ind w:left="426" w:right="132" w:hanging="426"/>
        <w:jc w:val="both"/>
        <w:rPr>
          <w:rFonts w:eastAsia="Times New Roman" w:cstheme="minorHAnsi"/>
          <w:lang w:eastAsia="it-IT"/>
        </w:rPr>
      </w:pPr>
    </w:p>
    <w:p w14:paraId="69DA2E5E" w14:textId="412C738D" w:rsidR="00D76765" w:rsidRDefault="00167893" w:rsidP="00763F3D">
      <w:pPr>
        <w:widowControl w:val="0"/>
        <w:numPr>
          <w:ilvl w:val="0"/>
          <w:numId w:val="5"/>
        </w:numPr>
        <w:tabs>
          <w:tab w:val="left" w:pos="619"/>
        </w:tabs>
        <w:autoSpaceDE w:val="0"/>
        <w:autoSpaceDN w:val="0"/>
        <w:spacing w:after="0" w:line="240" w:lineRule="auto"/>
        <w:ind w:left="426" w:right="132" w:hanging="426"/>
        <w:jc w:val="both"/>
        <w:rPr>
          <w:rFonts w:eastAsia="Times New Roman" w:cstheme="minorHAnsi"/>
          <w:lang w:eastAsia="it-IT"/>
        </w:rPr>
      </w:pPr>
      <w:r w:rsidRPr="00763F3D">
        <w:rPr>
          <w:rFonts w:eastAsia="Times New Roman" w:cstheme="minorHAnsi"/>
          <w:lang w:eastAsia="it-IT"/>
        </w:rPr>
        <w:t>di demandare al responsabile del servizio tutti gli adempimenti necessari all’attuazione del presente provvedimento;</w:t>
      </w:r>
    </w:p>
    <w:p w14:paraId="6C12BDB9" w14:textId="77777777" w:rsidR="00763F3D" w:rsidRPr="000221A0" w:rsidRDefault="00763F3D" w:rsidP="00763F3D">
      <w:pPr>
        <w:spacing w:after="0" w:line="240" w:lineRule="auto"/>
        <w:ind w:left="426" w:hanging="426"/>
        <w:jc w:val="both"/>
        <w:rPr>
          <w:rFonts w:ascii="Calibri" w:hAnsi="Calibri"/>
        </w:rPr>
      </w:pPr>
    </w:p>
    <w:p w14:paraId="260546C3" w14:textId="77777777" w:rsidR="00763F3D" w:rsidRPr="000221A0" w:rsidRDefault="00763F3D" w:rsidP="00763F3D">
      <w:pPr>
        <w:pStyle w:val="Corpotesto"/>
        <w:numPr>
          <w:ilvl w:val="0"/>
          <w:numId w:val="5"/>
        </w:numPr>
        <w:spacing w:line="240" w:lineRule="auto"/>
        <w:ind w:left="426" w:hanging="426"/>
        <w:rPr>
          <w:rFonts w:ascii="Calibri" w:hAnsi="Calibri"/>
          <w:szCs w:val="22"/>
        </w:rPr>
      </w:pPr>
      <w:r w:rsidRPr="000221A0">
        <w:rPr>
          <w:rFonts w:ascii="Calibri" w:hAnsi="Calibri"/>
          <w:szCs w:val="22"/>
        </w:rPr>
        <w:t>di disporre la comunicazione del presente provvedimento a</w:t>
      </w:r>
      <w:r>
        <w:rPr>
          <w:rFonts w:ascii="Calibri" w:hAnsi="Calibri"/>
          <w:szCs w:val="22"/>
        </w:rPr>
        <w:t>i</w:t>
      </w:r>
      <w:r w:rsidRPr="000221A0">
        <w:rPr>
          <w:rFonts w:ascii="Calibri" w:hAnsi="Calibri"/>
          <w:szCs w:val="22"/>
        </w:rPr>
        <w:t xml:space="preserve"> cap</w:t>
      </w:r>
      <w:r>
        <w:rPr>
          <w:rFonts w:ascii="Calibri" w:hAnsi="Calibri"/>
          <w:szCs w:val="22"/>
        </w:rPr>
        <w:t>i</w:t>
      </w:r>
      <w:r w:rsidRPr="000221A0">
        <w:rPr>
          <w:rFonts w:ascii="Calibri" w:hAnsi="Calibri"/>
          <w:szCs w:val="22"/>
        </w:rPr>
        <w:t>gruppo consiliar</w:t>
      </w:r>
      <w:r>
        <w:rPr>
          <w:rFonts w:ascii="Calibri" w:hAnsi="Calibri"/>
          <w:szCs w:val="22"/>
        </w:rPr>
        <w:t>i</w:t>
      </w:r>
      <w:r w:rsidRPr="000221A0">
        <w:rPr>
          <w:rFonts w:ascii="Calibri" w:hAnsi="Calibri"/>
          <w:szCs w:val="22"/>
        </w:rPr>
        <w:t xml:space="preserve">, contestualmente all’affissione dello stesso all’Albo Pretorio </w:t>
      </w:r>
      <w:r w:rsidRPr="000221A0">
        <w:rPr>
          <w:rFonts w:ascii="Calibri" w:hAnsi="Calibri"/>
          <w:i/>
          <w:szCs w:val="22"/>
        </w:rPr>
        <w:t>on line</w:t>
      </w:r>
      <w:r w:rsidRPr="000221A0">
        <w:rPr>
          <w:rFonts w:ascii="Calibri" w:hAnsi="Calibri"/>
          <w:szCs w:val="22"/>
        </w:rPr>
        <w:t>, secondo le modalità stabilite dall’art. 125 del D. Lgs. n. 267/2000;</w:t>
      </w:r>
    </w:p>
    <w:p w14:paraId="337877B0" w14:textId="77777777" w:rsidR="00763F3D" w:rsidRDefault="00763F3D" w:rsidP="00763F3D">
      <w:pPr>
        <w:pStyle w:val="Corpotesto"/>
        <w:spacing w:line="240" w:lineRule="auto"/>
        <w:rPr>
          <w:rFonts w:ascii="Calibri" w:hAnsi="Calibri"/>
          <w:szCs w:val="22"/>
        </w:rPr>
      </w:pPr>
    </w:p>
    <w:p w14:paraId="2F947467" w14:textId="77777777" w:rsidR="00763F3D" w:rsidRPr="000221A0" w:rsidRDefault="00763F3D" w:rsidP="00763F3D">
      <w:pPr>
        <w:pStyle w:val="Corpotesto"/>
        <w:spacing w:line="240" w:lineRule="auto"/>
        <w:rPr>
          <w:rFonts w:ascii="Calibri" w:hAnsi="Calibri"/>
          <w:szCs w:val="22"/>
        </w:rPr>
      </w:pPr>
    </w:p>
    <w:p w14:paraId="6D42689C" w14:textId="77777777" w:rsidR="00763F3D" w:rsidRPr="007A6672" w:rsidRDefault="00763F3D" w:rsidP="00763F3D">
      <w:pPr>
        <w:spacing w:after="0" w:line="240" w:lineRule="auto"/>
        <w:jc w:val="both"/>
        <w:rPr>
          <w:rFonts w:ascii="Calibri" w:hAnsi="Calibri"/>
        </w:rPr>
      </w:pPr>
      <w:r w:rsidRPr="007A6672">
        <w:rPr>
          <w:rFonts w:ascii="Calibri" w:hAnsi="Calibri"/>
        </w:rPr>
        <w:t xml:space="preserve">Inoltre, </w:t>
      </w:r>
      <w:smartTag w:uri="urn:schemas-microsoft-com:office:smarttags" w:element="PersonName">
        <w:smartTagPr>
          <w:attr w:name="ProductID" w:val="LA GIUNTA COMUNALE"/>
        </w:smartTagPr>
        <w:r w:rsidRPr="007A6672">
          <w:rPr>
            <w:rFonts w:ascii="Calibri" w:hAnsi="Calibri"/>
          </w:rPr>
          <w:t xml:space="preserve">la </w:t>
        </w:r>
        <w:r w:rsidRPr="007A6672">
          <w:rPr>
            <w:rFonts w:ascii="Calibri" w:hAnsi="Calibri"/>
            <w:i/>
          </w:rPr>
          <w:t>Giunta Comunale</w:t>
        </w:r>
      </w:smartTag>
      <w:r w:rsidRPr="007A6672">
        <w:rPr>
          <w:rFonts w:ascii="Calibri" w:hAnsi="Calibri"/>
        </w:rPr>
        <w:t>, valutata l’urgenza imposta dalla volontà di concludere tempestivamente il procedimento, motivata dalle rigide scadenze imposte dalla normativa giuscontabile in materia, con ulteriore votazione favorevole all’unanimità e resa nei modi di Legge</w:t>
      </w:r>
    </w:p>
    <w:p w14:paraId="27B416AB" w14:textId="77777777" w:rsidR="00763F3D" w:rsidRPr="00D74893" w:rsidRDefault="00763F3D" w:rsidP="00763F3D">
      <w:pPr>
        <w:spacing w:after="0" w:line="240" w:lineRule="auto"/>
        <w:jc w:val="both"/>
        <w:rPr>
          <w:rFonts w:ascii="Calibri" w:hAnsi="Calibri"/>
        </w:rPr>
      </w:pPr>
    </w:p>
    <w:p w14:paraId="42D66A79" w14:textId="77777777" w:rsidR="00763F3D" w:rsidRPr="00D74893" w:rsidRDefault="00763F3D" w:rsidP="00763F3D">
      <w:pPr>
        <w:spacing w:after="0" w:line="240" w:lineRule="auto"/>
        <w:jc w:val="center"/>
        <w:rPr>
          <w:rFonts w:ascii="Calibri" w:hAnsi="Calibri"/>
          <w:b/>
          <w:sz w:val="28"/>
          <w:szCs w:val="28"/>
        </w:rPr>
      </w:pPr>
      <w:r w:rsidRPr="00D74893">
        <w:rPr>
          <w:rFonts w:ascii="Calibri" w:hAnsi="Calibri"/>
          <w:b/>
          <w:sz w:val="28"/>
          <w:szCs w:val="28"/>
        </w:rPr>
        <w:lastRenderedPageBreak/>
        <w:t>D E L I</w:t>
      </w:r>
      <w:r>
        <w:rPr>
          <w:rFonts w:ascii="Calibri" w:hAnsi="Calibri"/>
          <w:b/>
          <w:sz w:val="28"/>
          <w:szCs w:val="28"/>
        </w:rPr>
        <w:t xml:space="preserve"> </w:t>
      </w:r>
      <w:r w:rsidRPr="00D74893">
        <w:rPr>
          <w:rFonts w:ascii="Calibri" w:hAnsi="Calibri"/>
          <w:b/>
          <w:sz w:val="28"/>
          <w:szCs w:val="28"/>
        </w:rPr>
        <w:t>B E R A</w:t>
      </w:r>
    </w:p>
    <w:p w14:paraId="36BF8152" w14:textId="77777777" w:rsidR="00763F3D" w:rsidRPr="00D74893" w:rsidRDefault="00763F3D" w:rsidP="00763F3D">
      <w:pPr>
        <w:spacing w:after="0" w:line="240" w:lineRule="auto"/>
        <w:jc w:val="both"/>
        <w:rPr>
          <w:rFonts w:ascii="Calibri" w:hAnsi="Calibri"/>
        </w:rPr>
      </w:pPr>
    </w:p>
    <w:p w14:paraId="6BD0E6B3" w14:textId="77777777" w:rsidR="00763F3D" w:rsidRPr="00D74893" w:rsidRDefault="00763F3D" w:rsidP="00763F3D">
      <w:pPr>
        <w:spacing w:after="0" w:line="240" w:lineRule="auto"/>
        <w:jc w:val="both"/>
        <w:rPr>
          <w:rFonts w:ascii="Calibri" w:hAnsi="Calibri"/>
        </w:rPr>
      </w:pPr>
      <w:r w:rsidRPr="00D74893">
        <w:rPr>
          <w:rFonts w:ascii="Calibri" w:hAnsi="Calibri"/>
        </w:rPr>
        <w:t xml:space="preserve">di </w:t>
      </w:r>
      <w:r w:rsidRPr="00D74893">
        <w:rPr>
          <w:rFonts w:ascii="Calibri" w:hAnsi="Calibri"/>
          <w:b/>
        </w:rPr>
        <w:t>dichiarare immediatamente eseguibile</w:t>
      </w:r>
      <w:r w:rsidRPr="00D74893">
        <w:rPr>
          <w:rFonts w:ascii="Calibri" w:hAnsi="Calibri"/>
        </w:rPr>
        <w:t xml:space="preserve"> la presente, ai sensi e per gli effetti dell'art. 134, co. 4, D. Lgs. 267/2000.</w:t>
      </w:r>
    </w:p>
    <w:p w14:paraId="482F5EE8" w14:textId="77777777" w:rsidR="00763F3D" w:rsidRPr="00D74893" w:rsidRDefault="00763F3D" w:rsidP="00763F3D">
      <w:pPr>
        <w:spacing w:after="0" w:line="240" w:lineRule="auto"/>
        <w:jc w:val="both"/>
        <w:rPr>
          <w:rFonts w:ascii="Calibri" w:hAnsi="Calibri"/>
        </w:rPr>
      </w:pPr>
    </w:p>
    <w:p w14:paraId="6159CE33" w14:textId="77777777" w:rsidR="00763F3D" w:rsidRDefault="00763F3D" w:rsidP="00763F3D">
      <w:pPr>
        <w:widowControl w:val="0"/>
        <w:tabs>
          <w:tab w:val="left" w:pos="619"/>
        </w:tabs>
        <w:autoSpaceDE w:val="0"/>
        <w:autoSpaceDN w:val="0"/>
        <w:spacing w:after="0" w:line="240" w:lineRule="auto"/>
        <w:ind w:right="132"/>
        <w:jc w:val="both"/>
        <w:rPr>
          <w:rFonts w:eastAsia="Times New Roman" w:cstheme="minorHAnsi"/>
          <w:lang w:eastAsia="it-IT"/>
        </w:rPr>
      </w:pPr>
    </w:p>
    <w:sectPr w:rsidR="00763F3D" w:rsidSect="00F23B8F">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B6035"/>
    <w:multiLevelType w:val="hybridMultilevel"/>
    <w:tmpl w:val="5E6820AE"/>
    <w:lvl w:ilvl="0" w:tplc="25DE01E6">
      <w:start w:val="1"/>
      <w:numFmt w:val="decimal"/>
      <w:lvlText w:val="%1."/>
      <w:lvlJc w:val="left"/>
      <w:pPr>
        <w:ind w:left="574" w:hanging="240"/>
      </w:pPr>
      <w:rPr>
        <w:rFonts w:ascii="Times New Roman" w:eastAsia="Times New Roman" w:hAnsi="Times New Roman" w:cs="Times New Roman" w:hint="default"/>
        <w:spacing w:val="-1"/>
        <w:w w:val="100"/>
        <w:sz w:val="24"/>
        <w:szCs w:val="24"/>
      </w:rPr>
    </w:lvl>
    <w:lvl w:ilvl="1" w:tplc="21AACB6E">
      <w:numFmt w:val="bullet"/>
      <w:lvlText w:val="•"/>
      <w:lvlJc w:val="left"/>
      <w:pPr>
        <w:ind w:left="1532" w:hanging="240"/>
      </w:pPr>
    </w:lvl>
    <w:lvl w:ilvl="2" w:tplc="BD4EF8C2">
      <w:numFmt w:val="bullet"/>
      <w:lvlText w:val="•"/>
      <w:lvlJc w:val="left"/>
      <w:pPr>
        <w:ind w:left="2485" w:hanging="240"/>
      </w:pPr>
    </w:lvl>
    <w:lvl w:ilvl="3" w:tplc="CF3E2ECA">
      <w:numFmt w:val="bullet"/>
      <w:lvlText w:val="•"/>
      <w:lvlJc w:val="left"/>
      <w:pPr>
        <w:ind w:left="3437" w:hanging="240"/>
      </w:pPr>
    </w:lvl>
    <w:lvl w:ilvl="4" w:tplc="7422C2CC">
      <w:numFmt w:val="bullet"/>
      <w:lvlText w:val="•"/>
      <w:lvlJc w:val="left"/>
      <w:pPr>
        <w:ind w:left="4390" w:hanging="240"/>
      </w:pPr>
    </w:lvl>
    <w:lvl w:ilvl="5" w:tplc="9F5E7938">
      <w:numFmt w:val="bullet"/>
      <w:lvlText w:val="•"/>
      <w:lvlJc w:val="left"/>
      <w:pPr>
        <w:ind w:left="5342" w:hanging="240"/>
      </w:pPr>
    </w:lvl>
    <w:lvl w:ilvl="6" w:tplc="E2BE1CA2">
      <w:numFmt w:val="bullet"/>
      <w:lvlText w:val="•"/>
      <w:lvlJc w:val="left"/>
      <w:pPr>
        <w:ind w:left="6295" w:hanging="240"/>
      </w:pPr>
    </w:lvl>
    <w:lvl w:ilvl="7" w:tplc="D2EE77A6">
      <w:numFmt w:val="bullet"/>
      <w:lvlText w:val="•"/>
      <w:lvlJc w:val="left"/>
      <w:pPr>
        <w:ind w:left="7247" w:hanging="240"/>
      </w:pPr>
    </w:lvl>
    <w:lvl w:ilvl="8" w:tplc="A63E1640">
      <w:numFmt w:val="bullet"/>
      <w:lvlText w:val="•"/>
      <w:lvlJc w:val="left"/>
      <w:pPr>
        <w:ind w:left="8200" w:hanging="240"/>
      </w:pPr>
    </w:lvl>
  </w:abstractNum>
  <w:abstractNum w:abstractNumId="1" w15:restartNumberingAfterBreak="0">
    <w:nsid w:val="38C51452"/>
    <w:multiLevelType w:val="hybridMultilevel"/>
    <w:tmpl w:val="78CA7AFC"/>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 w15:restartNumberingAfterBreak="0">
    <w:nsid w:val="4A310099"/>
    <w:multiLevelType w:val="hybridMultilevel"/>
    <w:tmpl w:val="2A4AA2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1B6251"/>
    <w:multiLevelType w:val="hybridMultilevel"/>
    <w:tmpl w:val="01600DCA"/>
    <w:lvl w:ilvl="0" w:tplc="0410000F">
      <w:start w:val="1"/>
      <w:numFmt w:val="decimal"/>
      <w:lvlText w:val="%1."/>
      <w:lvlJc w:val="left"/>
      <w:pPr>
        <w:tabs>
          <w:tab w:val="num" w:pos="360"/>
        </w:tabs>
        <w:ind w:left="340" w:hanging="340"/>
      </w:pPr>
      <w:rPr>
        <w:rFonts w:hint="default"/>
      </w:rPr>
    </w:lvl>
    <w:lvl w:ilvl="1" w:tplc="191234F0">
      <w:start w:val="1"/>
      <w:numFmt w:val="decimal"/>
      <w:lvlText w:val="%2)"/>
      <w:lvlJc w:val="left"/>
      <w:pPr>
        <w:tabs>
          <w:tab w:val="num" w:pos="794"/>
        </w:tabs>
        <w:ind w:left="794" w:hanging="454"/>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93"/>
    <w:rsid w:val="00167893"/>
    <w:rsid w:val="002E420E"/>
    <w:rsid w:val="003133C3"/>
    <w:rsid w:val="004277F4"/>
    <w:rsid w:val="00763F3D"/>
    <w:rsid w:val="00784FB5"/>
    <w:rsid w:val="009F3B76"/>
    <w:rsid w:val="00AF70EE"/>
    <w:rsid w:val="00C55BA9"/>
    <w:rsid w:val="00D76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20DFDD"/>
  <w15:chartTrackingRefBased/>
  <w15:docId w15:val="{0AFDDBD2-0E72-4BCE-9251-C0BC9EFF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67893"/>
    <w:pPr>
      <w:spacing w:after="0" w:line="360" w:lineRule="auto"/>
      <w:jc w:val="both"/>
    </w:pPr>
    <w:rPr>
      <w:rFonts w:ascii="Comic Sans MS" w:eastAsia="Times New Roman" w:hAnsi="Comic Sans MS" w:cs="Times New Roman"/>
      <w:szCs w:val="20"/>
      <w:lang w:eastAsia="it-IT"/>
    </w:rPr>
  </w:style>
  <w:style w:type="character" w:customStyle="1" w:styleId="CorpotestoCarattere">
    <w:name w:val="Corpo testo Carattere"/>
    <w:basedOn w:val="Carpredefinitoparagrafo"/>
    <w:link w:val="Corpotesto"/>
    <w:uiPriority w:val="99"/>
    <w:rsid w:val="00167893"/>
    <w:rPr>
      <w:rFonts w:ascii="Comic Sans MS" w:eastAsia="Times New Roman" w:hAnsi="Comic Sans MS" w:cs="Times New Roman"/>
      <w:szCs w:val="20"/>
      <w:lang w:eastAsia="it-IT"/>
    </w:rPr>
  </w:style>
  <w:style w:type="paragraph" w:styleId="Paragrafoelenco">
    <w:name w:val="List Paragraph"/>
    <w:basedOn w:val="Normale"/>
    <w:uiPriority w:val="1"/>
    <w:qFormat/>
    <w:rsid w:val="00167893"/>
    <w:pPr>
      <w:spacing w:after="0" w:line="240" w:lineRule="auto"/>
      <w:ind w:left="708"/>
    </w:pPr>
    <w:rPr>
      <w:rFonts w:ascii="Times New Roman" w:eastAsia="Times New Roman" w:hAnsi="Times New Roman" w:cs="Times New Roman"/>
      <w:sz w:val="20"/>
      <w:szCs w:val="20"/>
      <w:lang w:eastAsia="it-IT"/>
    </w:rPr>
  </w:style>
  <w:style w:type="paragraph" w:customStyle="1" w:styleId="Default">
    <w:name w:val="Default"/>
    <w:rsid w:val="00763F3D"/>
    <w:pPr>
      <w:autoSpaceDE w:val="0"/>
      <w:autoSpaceDN w:val="0"/>
      <w:adjustRightInd w:val="0"/>
      <w:spacing w:after="0" w:line="240" w:lineRule="auto"/>
    </w:pPr>
    <w:rPr>
      <w:rFonts w:ascii="Tahoma" w:eastAsia="Times New Roman" w:hAnsi="Tahoma" w:cs="Tahom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884</Words>
  <Characters>5043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Pagani</dc:creator>
  <cp:keywords/>
  <dc:description/>
  <cp:lastModifiedBy>Segreteria</cp:lastModifiedBy>
  <cp:revision>4</cp:revision>
  <dcterms:created xsi:type="dcterms:W3CDTF">2021-03-19T11:00:00Z</dcterms:created>
  <dcterms:modified xsi:type="dcterms:W3CDTF">2021-03-22T07:37:00Z</dcterms:modified>
</cp:coreProperties>
</file>